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A71C8" w14:textId="14520537" w:rsidR="00EF2F18" w:rsidRPr="002E190A" w:rsidRDefault="00497BED" w:rsidP="002E190A">
      <w:pPr>
        <w:jc w:val="center"/>
        <w:rPr>
          <w:b/>
          <w:bCs/>
          <w:sz w:val="32"/>
          <w:szCs w:val="32"/>
        </w:rPr>
      </w:pPr>
      <w:r w:rsidRPr="002E190A">
        <w:rPr>
          <w:b/>
          <w:bCs/>
          <w:sz w:val="32"/>
          <w:szCs w:val="32"/>
        </w:rPr>
        <w:t>Scenariusz warsztatów integracyjnych</w:t>
      </w:r>
    </w:p>
    <w:p w14:paraId="7260E92F" w14:textId="283D6580" w:rsidR="00E87B27" w:rsidRDefault="00497BED" w:rsidP="002E190A">
      <w:pPr>
        <w:jc w:val="center"/>
        <w:rPr>
          <w:i/>
          <w:iCs/>
          <w:sz w:val="24"/>
          <w:szCs w:val="24"/>
        </w:rPr>
      </w:pPr>
      <w:r w:rsidRPr="00E87B27">
        <w:rPr>
          <w:i/>
          <w:iCs/>
          <w:sz w:val="24"/>
          <w:szCs w:val="24"/>
        </w:rPr>
        <w:t>realizowany</w:t>
      </w:r>
      <w:r w:rsidR="00C66A92">
        <w:rPr>
          <w:i/>
          <w:iCs/>
          <w:sz w:val="24"/>
          <w:szCs w:val="24"/>
        </w:rPr>
        <w:t>ch</w:t>
      </w:r>
      <w:r w:rsidRPr="00E87B27">
        <w:rPr>
          <w:i/>
          <w:iCs/>
          <w:sz w:val="24"/>
          <w:szCs w:val="24"/>
        </w:rPr>
        <w:t xml:space="preserve"> w ramach projektu „Otwarta Szkoła”,</w:t>
      </w:r>
    </w:p>
    <w:p w14:paraId="4A7FD536" w14:textId="03F89460" w:rsidR="00497BED" w:rsidRPr="00E87B27" w:rsidRDefault="00497BED" w:rsidP="002E190A">
      <w:pPr>
        <w:jc w:val="center"/>
        <w:rPr>
          <w:i/>
          <w:iCs/>
          <w:sz w:val="24"/>
          <w:szCs w:val="24"/>
        </w:rPr>
      </w:pPr>
      <w:r w:rsidRPr="00E87B27">
        <w:rPr>
          <w:i/>
          <w:iCs/>
          <w:sz w:val="24"/>
          <w:szCs w:val="24"/>
        </w:rPr>
        <w:t xml:space="preserve"> </w:t>
      </w:r>
      <w:r w:rsidR="002E190A" w:rsidRPr="00E87B27">
        <w:rPr>
          <w:i/>
          <w:iCs/>
          <w:sz w:val="24"/>
          <w:szCs w:val="24"/>
        </w:rPr>
        <w:t>finansowanego z budżetu m. st. Warszawa</w:t>
      </w:r>
    </w:p>
    <w:p w14:paraId="7B4AE9CF" w14:textId="77777777" w:rsidR="00E87B27" w:rsidRDefault="00E87B27" w:rsidP="002E190A">
      <w:pPr>
        <w:rPr>
          <w:sz w:val="24"/>
          <w:szCs w:val="24"/>
        </w:rPr>
      </w:pPr>
    </w:p>
    <w:p w14:paraId="39024A7A" w14:textId="289B5CFC" w:rsidR="00E87B27" w:rsidRPr="00517758" w:rsidRDefault="002E190A" w:rsidP="002E190A">
      <w:pPr>
        <w:rPr>
          <w:b/>
          <w:bCs/>
          <w:sz w:val="24"/>
          <w:szCs w:val="24"/>
        </w:rPr>
      </w:pPr>
      <w:r w:rsidRPr="00517758">
        <w:rPr>
          <w:b/>
          <w:bCs/>
          <w:sz w:val="24"/>
          <w:szCs w:val="24"/>
        </w:rPr>
        <w:t>Cel</w:t>
      </w:r>
      <w:r w:rsidR="00E87B27" w:rsidRPr="00517758">
        <w:rPr>
          <w:b/>
          <w:bCs/>
          <w:sz w:val="24"/>
          <w:szCs w:val="24"/>
        </w:rPr>
        <w:t>e</w:t>
      </w:r>
      <w:r w:rsidRPr="00517758">
        <w:rPr>
          <w:b/>
          <w:bCs/>
          <w:sz w:val="24"/>
          <w:szCs w:val="24"/>
        </w:rPr>
        <w:t xml:space="preserve">: </w:t>
      </w:r>
    </w:p>
    <w:p w14:paraId="50D7BB6E" w14:textId="6D68EF00" w:rsidR="00E87B27" w:rsidRDefault="002E190A" w:rsidP="00E87B27">
      <w:pPr>
        <w:pStyle w:val="Akapitzlist"/>
        <w:numPr>
          <w:ilvl w:val="0"/>
          <w:numId w:val="1"/>
        </w:numPr>
        <w:rPr>
          <w:sz w:val="24"/>
          <w:szCs w:val="24"/>
        </w:rPr>
      </w:pPr>
      <w:r w:rsidRPr="00E87B27">
        <w:rPr>
          <w:sz w:val="24"/>
          <w:szCs w:val="24"/>
        </w:rPr>
        <w:t xml:space="preserve">poruszenie przez uczniów tematu azylu, migracji, </w:t>
      </w:r>
      <w:r w:rsidR="00A94312">
        <w:rPr>
          <w:sz w:val="24"/>
          <w:szCs w:val="24"/>
        </w:rPr>
        <w:t xml:space="preserve">wojen, </w:t>
      </w:r>
      <w:r w:rsidR="00A94312">
        <w:rPr>
          <w:sz w:val="24"/>
          <w:szCs w:val="24"/>
        </w:rPr>
        <w:tab/>
        <w:t>w tym woj</w:t>
      </w:r>
      <w:r w:rsidRPr="00E87B27">
        <w:rPr>
          <w:sz w:val="24"/>
          <w:szCs w:val="24"/>
        </w:rPr>
        <w:t>ny na Ukrainie;</w:t>
      </w:r>
    </w:p>
    <w:p w14:paraId="0A13927E" w14:textId="77777777" w:rsidR="00E87B27" w:rsidRDefault="002E190A" w:rsidP="00E87B27">
      <w:pPr>
        <w:pStyle w:val="Akapitzlist"/>
        <w:numPr>
          <w:ilvl w:val="0"/>
          <w:numId w:val="1"/>
        </w:numPr>
        <w:rPr>
          <w:sz w:val="24"/>
          <w:szCs w:val="24"/>
        </w:rPr>
      </w:pPr>
      <w:r w:rsidRPr="00E87B27">
        <w:rPr>
          <w:sz w:val="24"/>
          <w:szCs w:val="24"/>
        </w:rPr>
        <w:t xml:space="preserve">wzrost wiedzy u uczniów na temat przyczyn przebywania migrantów i migrantek w Polsce; </w:t>
      </w:r>
      <w:r w:rsidR="00E87B27" w:rsidRPr="00E87B27">
        <w:rPr>
          <w:sz w:val="24"/>
          <w:szCs w:val="24"/>
        </w:rPr>
        <w:t>poprawa</w:t>
      </w:r>
      <w:r w:rsidRPr="00E87B27">
        <w:rPr>
          <w:sz w:val="24"/>
          <w:szCs w:val="24"/>
        </w:rPr>
        <w:t xml:space="preserve"> relacji pomiędzy uczniami </w:t>
      </w:r>
      <w:r w:rsidR="00E87B27" w:rsidRPr="00E87B27">
        <w:rPr>
          <w:sz w:val="24"/>
          <w:szCs w:val="24"/>
        </w:rPr>
        <w:t>różnych narodowości i z różnych krajów;</w:t>
      </w:r>
    </w:p>
    <w:p w14:paraId="14F15E3E" w14:textId="77777777" w:rsidR="00E87B27" w:rsidRDefault="00E87B27" w:rsidP="00E87B27">
      <w:pPr>
        <w:pStyle w:val="Akapitzlist"/>
        <w:numPr>
          <w:ilvl w:val="0"/>
          <w:numId w:val="1"/>
        </w:numPr>
        <w:rPr>
          <w:sz w:val="24"/>
          <w:szCs w:val="24"/>
        </w:rPr>
      </w:pPr>
      <w:r w:rsidRPr="00E87B27">
        <w:rPr>
          <w:sz w:val="24"/>
          <w:szCs w:val="24"/>
        </w:rPr>
        <w:t xml:space="preserve">zapobieganie konfliktom na tle etnicznym i kulturowym; </w:t>
      </w:r>
    </w:p>
    <w:p w14:paraId="45FF2CC1" w14:textId="71423B7F" w:rsidR="002E190A" w:rsidRDefault="00E87B27" w:rsidP="00E87B27">
      <w:pPr>
        <w:pStyle w:val="Akapitzlist"/>
        <w:numPr>
          <w:ilvl w:val="0"/>
          <w:numId w:val="1"/>
        </w:numPr>
        <w:rPr>
          <w:sz w:val="24"/>
          <w:szCs w:val="24"/>
        </w:rPr>
      </w:pPr>
      <w:r w:rsidRPr="00E87B27">
        <w:rPr>
          <w:sz w:val="24"/>
          <w:szCs w:val="24"/>
        </w:rPr>
        <w:t>przeciwdziałanie dyskryminacji i rasizmowi wśród uczniów szkół podstawowych</w:t>
      </w:r>
    </w:p>
    <w:p w14:paraId="20C10E27" w14:textId="22CFB081" w:rsidR="0050702B" w:rsidRPr="0050702B" w:rsidRDefault="0050702B" w:rsidP="0050702B">
      <w:pPr>
        <w:rPr>
          <w:sz w:val="24"/>
          <w:szCs w:val="24"/>
        </w:rPr>
      </w:pPr>
      <w:r w:rsidRPr="0050702B">
        <w:rPr>
          <w:b/>
          <w:bCs/>
          <w:sz w:val="24"/>
          <w:szCs w:val="24"/>
        </w:rPr>
        <w:t>Autorka</w:t>
      </w:r>
      <w:r>
        <w:rPr>
          <w:sz w:val="24"/>
          <w:szCs w:val="24"/>
        </w:rPr>
        <w:t>: Lyudmila Naidenova</w:t>
      </w:r>
    </w:p>
    <w:p w14:paraId="0CA5ADEB" w14:textId="02E5EFA5" w:rsidR="00E87B27" w:rsidRDefault="00E87B27" w:rsidP="002E190A">
      <w:pPr>
        <w:rPr>
          <w:sz w:val="24"/>
          <w:szCs w:val="24"/>
        </w:rPr>
      </w:pPr>
      <w:r w:rsidRPr="00517758">
        <w:rPr>
          <w:b/>
          <w:bCs/>
          <w:sz w:val="24"/>
          <w:szCs w:val="24"/>
        </w:rPr>
        <w:t>Grupa docelowa:</w:t>
      </w:r>
      <w:r>
        <w:rPr>
          <w:sz w:val="24"/>
          <w:szCs w:val="24"/>
        </w:rPr>
        <w:t xml:space="preserve"> uczennice i uczniowie klas I-III szkoły podstawowej</w:t>
      </w:r>
    </w:p>
    <w:p w14:paraId="609CA680" w14:textId="010D5567" w:rsidR="00E87B27" w:rsidRDefault="00E87B27" w:rsidP="002E190A">
      <w:pPr>
        <w:rPr>
          <w:sz w:val="24"/>
          <w:szCs w:val="24"/>
        </w:rPr>
      </w:pPr>
      <w:r w:rsidRPr="00517758">
        <w:rPr>
          <w:b/>
          <w:bCs/>
          <w:sz w:val="24"/>
          <w:szCs w:val="24"/>
        </w:rPr>
        <w:t>Czas trwania:</w:t>
      </w:r>
      <w:r>
        <w:rPr>
          <w:sz w:val="24"/>
          <w:szCs w:val="24"/>
        </w:rPr>
        <w:t xml:space="preserve"> 2 h lekcyjne (90 minut)</w:t>
      </w:r>
    </w:p>
    <w:p w14:paraId="043386CC" w14:textId="2A11B695" w:rsidR="003A0218" w:rsidRDefault="003A0218" w:rsidP="002E190A">
      <w:pPr>
        <w:rPr>
          <w:sz w:val="24"/>
          <w:szCs w:val="24"/>
        </w:rPr>
      </w:pPr>
      <w:r>
        <w:rPr>
          <w:sz w:val="24"/>
          <w:szCs w:val="24"/>
        </w:rPr>
        <w:t>Materiały:</w:t>
      </w:r>
      <w:r w:rsidR="001A3E6F">
        <w:rPr>
          <w:sz w:val="24"/>
          <w:szCs w:val="24"/>
        </w:rPr>
        <w:t xml:space="preserve"> papier formatu A</w:t>
      </w:r>
      <w:r w:rsidR="00830DE5">
        <w:rPr>
          <w:sz w:val="24"/>
          <w:szCs w:val="24"/>
        </w:rPr>
        <w:t>3</w:t>
      </w:r>
      <w:r w:rsidR="001A3E6F">
        <w:rPr>
          <w:sz w:val="24"/>
          <w:szCs w:val="24"/>
        </w:rPr>
        <w:t>, flamastry, kredki, materiały do tworzenia biżuterii – drut jubilerski, zapięcia, koraliki w różnych rozmiarach, gumka jubilerska</w:t>
      </w:r>
    </w:p>
    <w:p w14:paraId="130D5032" w14:textId="5C7937BC" w:rsidR="003A0218" w:rsidRDefault="003A0218" w:rsidP="002E190A">
      <w:pPr>
        <w:rPr>
          <w:sz w:val="24"/>
          <w:szCs w:val="24"/>
        </w:rPr>
      </w:pPr>
    </w:p>
    <w:p w14:paraId="323426EC" w14:textId="6B4AEE1C" w:rsidR="003A0218" w:rsidRDefault="003A0218" w:rsidP="002E190A">
      <w:pPr>
        <w:rPr>
          <w:sz w:val="24"/>
          <w:szCs w:val="24"/>
        </w:rPr>
      </w:pPr>
      <w:r>
        <w:rPr>
          <w:sz w:val="24"/>
          <w:szCs w:val="24"/>
        </w:rPr>
        <w:t>Przebieg:</w:t>
      </w:r>
    </w:p>
    <w:p w14:paraId="35740E8E" w14:textId="2D9DD424" w:rsidR="00F531FF" w:rsidRDefault="00F531FF" w:rsidP="00C66A92">
      <w:pPr>
        <w:jc w:val="both"/>
        <w:rPr>
          <w:sz w:val="24"/>
          <w:szCs w:val="24"/>
        </w:rPr>
      </w:pPr>
      <w:r>
        <w:rPr>
          <w:sz w:val="24"/>
          <w:szCs w:val="24"/>
        </w:rPr>
        <w:t>Ze względu na możliwości psychofizyczne uczniów w danym wieku warsztaty zostały podzielone na 2 części: część merytoryczną z wykorzystaniem metod aktywizujących oraz część warsztatową, podczas której uczennice i uczniowie będą mogli w luźnej atmosferze wykonać prace artystyczne, porozmawiać, lepiej się poznać</w:t>
      </w:r>
      <w:r w:rsidR="005A0C75">
        <w:rPr>
          <w:sz w:val="24"/>
          <w:szCs w:val="24"/>
        </w:rPr>
        <w:t xml:space="preserve">. Część warsztatowa również posłuży poprawie relacji między uczniami, pozwoli uczniom, którzy ze względu na brak znajomości języka polskiego często nie rozumieją, co się dzieje na lekcji, przez co dostają słabsze oceny, na wykazanie swoich talentów i zdolności i zdobycie uznania wśród grupy rówieśniczej. W przypadku warsztatów, prowadzonych przez Stowarzyszenie </w:t>
      </w:r>
      <w:proofErr w:type="spellStart"/>
      <w:r w:rsidR="005A0C75">
        <w:rPr>
          <w:sz w:val="24"/>
          <w:szCs w:val="24"/>
        </w:rPr>
        <w:t>Vox</w:t>
      </w:r>
      <w:proofErr w:type="spellEnd"/>
      <w:r w:rsidR="005A0C75">
        <w:rPr>
          <w:sz w:val="24"/>
          <w:szCs w:val="24"/>
        </w:rPr>
        <w:t xml:space="preserve"> Humana w ramach projektu „Otwarta Szkoła” zdecydowaliśmy się na przeprowadzenie warsztatów z tworzenia biżuterii, zachęcamy jednak innych nauczycieli i trenerów, żeby eksperymentować </w:t>
      </w:r>
      <w:r w:rsidR="00C66A92">
        <w:rPr>
          <w:sz w:val="24"/>
          <w:szCs w:val="24"/>
        </w:rPr>
        <w:t>i korzystać z różnych form pracy z młodzieżą, zwłaszcza w drugiej części zajęć, gdzie zamiast tworzenia biżuterii można wykorzystać dowolną inną technikę. Ważne jest jednak, żeby wybrana technika nie pokrywała się z tym, co uczniowie robią na innych lekcjach, była atrakcyjna dla uczniów i żeby każdy mógł osiągnąć w niej sukces, bez względu na wcześniejsze doświadczenia artystyczne.</w:t>
      </w:r>
    </w:p>
    <w:p w14:paraId="13E4BB71" w14:textId="77777777" w:rsidR="001A3E6F" w:rsidRDefault="001A3E6F" w:rsidP="00C66A92">
      <w:pPr>
        <w:jc w:val="both"/>
        <w:rPr>
          <w:sz w:val="24"/>
          <w:szCs w:val="24"/>
        </w:rPr>
      </w:pPr>
    </w:p>
    <w:p w14:paraId="026EF3BF" w14:textId="5B422726" w:rsidR="0073383C" w:rsidRDefault="0073383C" w:rsidP="00C66A92">
      <w:pPr>
        <w:jc w:val="both"/>
        <w:rPr>
          <w:sz w:val="24"/>
          <w:szCs w:val="24"/>
        </w:rPr>
      </w:pPr>
      <w:r>
        <w:rPr>
          <w:sz w:val="24"/>
          <w:szCs w:val="24"/>
        </w:rPr>
        <w:lastRenderedPageBreak/>
        <w:t>CZĘŚĆ 1</w:t>
      </w:r>
    </w:p>
    <w:p w14:paraId="6BDAA84F" w14:textId="396FEE8F" w:rsidR="00FD7B31" w:rsidRDefault="004C18FB" w:rsidP="00FD7B31">
      <w:pPr>
        <w:pStyle w:val="Akapitzlist"/>
        <w:numPr>
          <w:ilvl w:val="0"/>
          <w:numId w:val="3"/>
        </w:numPr>
        <w:jc w:val="both"/>
        <w:rPr>
          <w:sz w:val="24"/>
          <w:szCs w:val="24"/>
        </w:rPr>
      </w:pPr>
      <w:r>
        <w:rPr>
          <w:sz w:val="24"/>
          <w:szCs w:val="24"/>
        </w:rPr>
        <w:t>Poznajmy się (5-10 minut)</w:t>
      </w:r>
    </w:p>
    <w:p w14:paraId="234AAA92" w14:textId="6B486CE9" w:rsidR="0073383C" w:rsidRDefault="004C18FB" w:rsidP="0073383C">
      <w:pPr>
        <w:ind w:left="360"/>
        <w:jc w:val="both"/>
        <w:rPr>
          <w:sz w:val="24"/>
          <w:szCs w:val="24"/>
        </w:rPr>
      </w:pPr>
      <w:r>
        <w:rPr>
          <w:sz w:val="24"/>
          <w:szCs w:val="24"/>
        </w:rPr>
        <w:t>Dzieci siadają w kręgu, prowadzący przedstawia się i mówi, że zależy mu na tym, żeby na dzisiejszym spotkaniu osoby uczestniczące słuchały siebie nawzajem. Pyta dzieci jak lubią być słuchane. Na podstawie otrzymanych odpowiedzi uczniowie ustalają</w:t>
      </w:r>
      <w:r w:rsidR="003C6406">
        <w:rPr>
          <w:sz w:val="24"/>
          <w:szCs w:val="24"/>
        </w:rPr>
        <w:t xml:space="preserve"> kontrakt, dotyczący słuchania siebie na</w:t>
      </w:r>
      <w:r w:rsidR="00314D07">
        <w:rPr>
          <w:sz w:val="24"/>
          <w:szCs w:val="24"/>
        </w:rPr>
        <w:t>wzajem. Następnie prowadzący inicjuje zabawę w poznawanie się poprzez pokazywanie tego kto i co lubi robić, jeść, pić, w co się lubi bawić. Uczniowie uaktywniają się, pokazują co lubią robić (może być w postaci kalamburów), uruchamiając myślenie o przyjemnych rzeczach, obserwując, kto lubi te same rzeczy</w:t>
      </w:r>
      <w:r w:rsidR="0073383C">
        <w:rPr>
          <w:sz w:val="24"/>
          <w:szCs w:val="24"/>
        </w:rPr>
        <w:t xml:space="preserve">, a kto inne, że czasem „lubienia” pokrywają się, a czasem są zupełnie różne. </w:t>
      </w:r>
    </w:p>
    <w:p w14:paraId="5D971F46" w14:textId="2D0242CE" w:rsidR="0073383C" w:rsidRDefault="0073383C" w:rsidP="0073383C">
      <w:pPr>
        <w:pStyle w:val="Akapitzlist"/>
        <w:numPr>
          <w:ilvl w:val="0"/>
          <w:numId w:val="3"/>
        </w:numPr>
        <w:jc w:val="both"/>
        <w:rPr>
          <w:sz w:val="24"/>
          <w:szCs w:val="24"/>
        </w:rPr>
      </w:pPr>
      <w:r>
        <w:rPr>
          <w:sz w:val="24"/>
          <w:szCs w:val="24"/>
        </w:rPr>
        <w:t xml:space="preserve">Kto jest w potrzebie? (ok. </w:t>
      </w:r>
      <w:r w:rsidR="0050702B">
        <w:rPr>
          <w:sz w:val="24"/>
          <w:szCs w:val="24"/>
        </w:rPr>
        <w:t>15</w:t>
      </w:r>
      <w:r>
        <w:rPr>
          <w:sz w:val="24"/>
          <w:szCs w:val="24"/>
        </w:rPr>
        <w:t xml:space="preserve"> min.)</w:t>
      </w:r>
    </w:p>
    <w:p w14:paraId="1988F8D2" w14:textId="1A7369C1" w:rsidR="0073383C" w:rsidRDefault="00C0763D" w:rsidP="0073383C">
      <w:pPr>
        <w:ind w:left="360"/>
        <w:jc w:val="both"/>
        <w:rPr>
          <w:sz w:val="24"/>
          <w:szCs w:val="24"/>
        </w:rPr>
      </w:pPr>
      <w:r>
        <w:rPr>
          <w:sz w:val="24"/>
          <w:szCs w:val="24"/>
        </w:rPr>
        <w:t>Odwołując się do naturalnej empatii pytamy dzieci, czy wiedzą coś na temat innych dzieci, które w danej chwili i w ciągu najbliższych dni niestety nie będą mogły robić tego, co chcą. W ten sposób staramy się naprowadzić dzieci na temat powodów migracji i uchodźctwa, takich jak niskie zarobki w niektórych krajach, trudna sytuacja kobiet czy przede wszystkim wojna. W tym momencie osoba prowadząca powinna być szczególnie czujna i obserwować, czy poruszany temat nie wywołuje wspomnień u osób, które być może doświadczyły np. wojny i uciekały wraz z rodzinami. Nie naciskamy i nie prosimy, żeby te dzieci dzieliły się wspomnieniami, ale w przypadku, jeśli dzieci chcą opowiedzieć – tworzymy dla nich przestrzeń, nie negujemy doświadczeń</w:t>
      </w:r>
      <w:r w:rsidR="003B0D9B">
        <w:rPr>
          <w:sz w:val="24"/>
          <w:szCs w:val="24"/>
        </w:rPr>
        <w:t>, dbamy o poczucie bezpieczeństwa uczniów i uczennic, żeby byli wysłuchani i wysłuchane.</w:t>
      </w:r>
      <w:r w:rsidR="000738E6">
        <w:rPr>
          <w:sz w:val="24"/>
          <w:szCs w:val="24"/>
        </w:rPr>
        <w:t xml:space="preserve"> Warto również moderować rozmowę w taki sposób, żeby </w:t>
      </w:r>
      <w:r w:rsidR="0050702B">
        <w:rPr>
          <w:sz w:val="24"/>
          <w:szCs w:val="24"/>
        </w:rPr>
        <w:t>uczniowie i uczennice nie odchodzili od tematu zajęć. Wspieramy rozmowę, podając dzieciom konkretne fakty na temat sytuacji migrantów i migrantek, uchodźców i uchodźczyń. Opowiadamy o problemach, z którymi mogą się spotykać.</w:t>
      </w:r>
    </w:p>
    <w:p w14:paraId="7677A39B" w14:textId="38E5E116" w:rsidR="0050702B" w:rsidRDefault="0050702B" w:rsidP="0050702B">
      <w:pPr>
        <w:pStyle w:val="Akapitzlist"/>
        <w:numPr>
          <w:ilvl w:val="0"/>
          <w:numId w:val="3"/>
        </w:numPr>
        <w:jc w:val="both"/>
        <w:rPr>
          <w:sz w:val="24"/>
          <w:szCs w:val="24"/>
        </w:rPr>
      </w:pPr>
      <w:r>
        <w:rPr>
          <w:sz w:val="24"/>
          <w:szCs w:val="24"/>
        </w:rPr>
        <w:t>Co możemy zrobić? (ok. 15 min.)</w:t>
      </w:r>
    </w:p>
    <w:p w14:paraId="0BC9D9F6" w14:textId="105F97DF" w:rsidR="0050702B" w:rsidRDefault="0050702B" w:rsidP="0050702B">
      <w:pPr>
        <w:ind w:left="360"/>
        <w:jc w:val="both"/>
        <w:rPr>
          <w:sz w:val="24"/>
          <w:szCs w:val="24"/>
        </w:rPr>
      </w:pPr>
      <w:r>
        <w:rPr>
          <w:sz w:val="24"/>
          <w:szCs w:val="24"/>
        </w:rPr>
        <w:t xml:space="preserve">Osoba prowadząca pyta uczniów i uczennice o to, czy </w:t>
      </w:r>
      <w:r w:rsidR="001A3E6F">
        <w:rPr>
          <w:sz w:val="24"/>
          <w:szCs w:val="24"/>
        </w:rPr>
        <w:t>będąc w Polsce, w kraju, który w tej chwili jest bezpieczny, mamy wpływ na losy wojny. Po zauważeniu, że dzieci nie mają wpływu na wojnę, prowadzimy do konkluzji, że za to mają wpływ na życie kolegów i koleżanek z doświadczeniem migracji. Dzieci z doświadczeniem migracji, które są na Sali, z kolei mają wpływ na to, czego nauczą się w tym czasie i z jakimi nowymi zasobami być może wrócą do kraju, a być może zbudują swoje życie w Polsce. Dzielimy dzieci na grupy 3-4 osobowe i prosimy o narysowanie plakatu, w jaki sposób mogą sprawić, żeby koledzy i koleżanki z doświadczeniem migracji lepiej czuli się w naszej klasie, jak można im pomóc przezwyciężyć trudne sytuacje i co zrobić, żeby wszystkim w klasie żyło się lepiej</w:t>
      </w:r>
    </w:p>
    <w:p w14:paraId="5F41A0AC" w14:textId="77777777" w:rsidR="00070113" w:rsidRDefault="00070113" w:rsidP="00070113">
      <w:pPr>
        <w:ind w:left="360"/>
        <w:jc w:val="both"/>
        <w:rPr>
          <w:sz w:val="24"/>
          <w:szCs w:val="24"/>
        </w:rPr>
      </w:pPr>
    </w:p>
    <w:p w14:paraId="5214DB7D" w14:textId="77777777" w:rsidR="00070113" w:rsidRDefault="00070113" w:rsidP="00070113">
      <w:pPr>
        <w:ind w:left="360"/>
        <w:jc w:val="both"/>
        <w:rPr>
          <w:sz w:val="24"/>
          <w:szCs w:val="24"/>
        </w:rPr>
      </w:pPr>
    </w:p>
    <w:p w14:paraId="5EF53E6D" w14:textId="73BDC3FE" w:rsidR="001A3E6F" w:rsidRPr="00070113" w:rsidRDefault="001A3E6F" w:rsidP="00070113">
      <w:pPr>
        <w:pStyle w:val="Akapitzlist"/>
        <w:numPr>
          <w:ilvl w:val="0"/>
          <w:numId w:val="3"/>
        </w:numPr>
        <w:jc w:val="both"/>
        <w:rPr>
          <w:sz w:val="24"/>
          <w:szCs w:val="24"/>
        </w:rPr>
      </w:pPr>
      <w:r w:rsidRPr="00070113">
        <w:rPr>
          <w:sz w:val="24"/>
          <w:szCs w:val="24"/>
        </w:rPr>
        <w:lastRenderedPageBreak/>
        <w:t xml:space="preserve">Prezentacja </w:t>
      </w:r>
      <w:r w:rsidR="00830DE5" w:rsidRPr="00070113">
        <w:rPr>
          <w:sz w:val="24"/>
          <w:szCs w:val="24"/>
        </w:rPr>
        <w:t>(5-10 min.)</w:t>
      </w:r>
    </w:p>
    <w:p w14:paraId="46B910FB" w14:textId="2E050670" w:rsidR="001A3E6F" w:rsidRDefault="001A3E6F" w:rsidP="001A3E6F">
      <w:pPr>
        <w:ind w:left="360"/>
        <w:jc w:val="both"/>
        <w:rPr>
          <w:sz w:val="24"/>
          <w:szCs w:val="24"/>
        </w:rPr>
      </w:pPr>
      <w:r>
        <w:rPr>
          <w:sz w:val="24"/>
          <w:szCs w:val="24"/>
        </w:rPr>
        <w:t xml:space="preserve">Uczniowie pokazują stworzone plakaty i opowiadają o tym, </w:t>
      </w:r>
      <w:r w:rsidR="00830DE5">
        <w:rPr>
          <w:sz w:val="24"/>
          <w:szCs w:val="24"/>
        </w:rPr>
        <w:t>co stworzyli. Prowadzący dba o to, żeby każda grupa miała jednakową ilość czasu, żeby treści, zawarte w plakatach, nie były dyskryminujące ani nikogo nie obrażały. Prezentacja powinna być elementem spotkania, podczas którego uczniowie i uczennice mogą podzielić się pomysłami, pochwalić się kreatywnością i pięknymi rysunkami. Powstałe plakaty układają się we wspólną galerię, którą warto jest umieścić w klasie.</w:t>
      </w:r>
    </w:p>
    <w:p w14:paraId="11E51DB0" w14:textId="77777777" w:rsidR="00830DE5" w:rsidRDefault="00830DE5" w:rsidP="001A3E6F">
      <w:pPr>
        <w:ind w:left="360"/>
        <w:jc w:val="both"/>
        <w:rPr>
          <w:sz w:val="24"/>
          <w:szCs w:val="24"/>
        </w:rPr>
      </w:pPr>
    </w:p>
    <w:p w14:paraId="1B61E0B3" w14:textId="2D7D9071" w:rsidR="00830DE5" w:rsidRDefault="00830DE5" w:rsidP="001A3E6F">
      <w:pPr>
        <w:ind w:left="360"/>
        <w:jc w:val="both"/>
        <w:rPr>
          <w:sz w:val="24"/>
          <w:szCs w:val="24"/>
        </w:rPr>
      </w:pPr>
      <w:r>
        <w:rPr>
          <w:sz w:val="24"/>
          <w:szCs w:val="24"/>
        </w:rPr>
        <w:t>Część 2 (po przerwie)</w:t>
      </w:r>
    </w:p>
    <w:p w14:paraId="38B9B57B" w14:textId="7AE3110E" w:rsidR="00830DE5" w:rsidRPr="001A3E6F" w:rsidRDefault="00830DE5" w:rsidP="001A3E6F">
      <w:pPr>
        <w:ind w:left="360"/>
        <w:jc w:val="both"/>
        <w:rPr>
          <w:sz w:val="24"/>
          <w:szCs w:val="24"/>
        </w:rPr>
      </w:pPr>
      <w:r>
        <w:rPr>
          <w:sz w:val="24"/>
          <w:szCs w:val="24"/>
        </w:rPr>
        <w:t xml:space="preserve">Druga część spotkania ma na celu utrwalenie wśród uczniów wiedzy, zdobytej w czasie poprzedniej godziny lekcyjnej, spędzenia czasu wspólnie w środowisku międzykulturowym oraz otrzymanie przyjemnego doświadczenia od wspólnej pracy artystycznej, odkrycie niespodziewanych talentów i poprawę stosunków pomiędzy uczniami. Może to być dowolna technika artystyczna. Na potrzebę projektu „Otwarta szkoła” opracowaliśmy warsztaty z tworzenia biżuterii. Uczniowie otrzymują przygotowane wcześniej przez prowadzących </w:t>
      </w:r>
      <w:r w:rsidR="00070113">
        <w:rPr>
          <w:sz w:val="24"/>
          <w:szCs w:val="24"/>
        </w:rPr>
        <w:t xml:space="preserve">odcinki drutu jubilerskiego, samodzielnie (lub w grupach) wybierają i wymieniają się koralikami. Osoby prowadzące pokazują wzory bransoletek, które mogą stworzyć uczniowie i uczennice. Uczniowie i uczennice tworzą przy wspólnym stole lub w mniejszych grupach. Wspólna praca artystyczna zachęca do rozmowy, współpracy, pomagania sobie nawzajem i dzielenia się kreatywnymi pomysłami. Gotowe prace uczniowie i uczennice mogą zabrać do domu lub przekazać osobom, które bardzo chcą je dostać. </w:t>
      </w:r>
    </w:p>
    <w:p w14:paraId="6AD436F5" w14:textId="77777777" w:rsidR="001A3E6F" w:rsidRPr="0050702B" w:rsidRDefault="001A3E6F" w:rsidP="0050702B">
      <w:pPr>
        <w:ind w:left="360"/>
        <w:jc w:val="both"/>
        <w:rPr>
          <w:sz w:val="24"/>
          <w:szCs w:val="24"/>
        </w:rPr>
      </w:pPr>
    </w:p>
    <w:p w14:paraId="3F0B545C" w14:textId="77777777" w:rsidR="0073383C" w:rsidRPr="0073383C" w:rsidRDefault="0073383C" w:rsidP="0073383C">
      <w:pPr>
        <w:pStyle w:val="Akapitzlist"/>
        <w:jc w:val="both"/>
        <w:rPr>
          <w:sz w:val="24"/>
          <w:szCs w:val="24"/>
        </w:rPr>
      </w:pPr>
    </w:p>
    <w:p w14:paraId="672FAE60" w14:textId="77777777" w:rsidR="002E190A" w:rsidRDefault="002E190A" w:rsidP="002E190A">
      <w:pPr>
        <w:jc w:val="center"/>
        <w:rPr>
          <w:sz w:val="24"/>
          <w:szCs w:val="24"/>
        </w:rPr>
      </w:pPr>
    </w:p>
    <w:p w14:paraId="0B8C891E" w14:textId="77777777" w:rsidR="002E190A" w:rsidRPr="002E190A" w:rsidRDefault="002E190A" w:rsidP="002E190A">
      <w:pPr>
        <w:jc w:val="center"/>
        <w:rPr>
          <w:sz w:val="24"/>
          <w:szCs w:val="24"/>
        </w:rPr>
      </w:pPr>
    </w:p>
    <w:sectPr w:rsidR="002E190A" w:rsidRPr="002E190A" w:rsidSect="0073383C">
      <w:headerReference w:type="default" r:id="rId7"/>
      <w:pgSz w:w="11906" w:h="16838"/>
      <w:pgMar w:top="239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14AE" w14:textId="77777777" w:rsidR="005900AB" w:rsidRDefault="005900AB" w:rsidP="0073383C">
      <w:pPr>
        <w:spacing w:after="0" w:line="240" w:lineRule="auto"/>
      </w:pPr>
      <w:r>
        <w:separator/>
      </w:r>
    </w:p>
  </w:endnote>
  <w:endnote w:type="continuationSeparator" w:id="0">
    <w:p w14:paraId="1625B9B1" w14:textId="77777777" w:rsidR="005900AB" w:rsidRDefault="005900AB" w:rsidP="0073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FE4E8" w14:textId="77777777" w:rsidR="005900AB" w:rsidRDefault="005900AB" w:rsidP="0073383C">
      <w:pPr>
        <w:spacing w:after="0" w:line="240" w:lineRule="auto"/>
      </w:pPr>
      <w:r>
        <w:separator/>
      </w:r>
    </w:p>
  </w:footnote>
  <w:footnote w:type="continuationSeparator" w:id="0">
    <w:p w14:paraId="044DD9C7" w14:textId="77777777" w:rsidR="005900AB" w:rsidRDefault="005900AB" w:rsidP="0073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D182" w14:textId="7DC5FE75" w:rsidR="0073383C" w:rsidRDefault="0073383C">
    <w:pPr>
      <w:pStyle w:val="Nagwek"/>
    </w:pPr>
    <w:r>
      <w:rPr>
        <w:noProof/>
      </w:rPr>
      <w:drawing>
        <wp:anchor distT="0" distB="0" distL="114300" distR="114300" simplePos="0" relativeHeight="251658240" behindDoc="0" locked="0" layoutInCell="1" allowOverlap="1" wp14:anchorId="25F2D84D" wp14:editId="5BA147C4">
          <wp:simplePos x="0" y="0"/>
          <wp:positionH relativeFrom="column">
            <wp:posOffset>-258291</wp:posOffset>
          </wp:positionH>
          <wp:positionV relativeFrom="paragraph">
            <wp:posOffset>-20545</wp:posOffset>
          </wp:positionV>
          <wp:extent cx="1429385" cy="565150"/>
          <wp:effectExtent l="0" t="0" r="0" b="6350"/>
          <wp:wrapSquare wrapText="bothSides"/>
          <wp:docPr id="2074597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67050" name="Obraz 1154067050"/>
                  <pic:cNvPicPr/>
                </pic:nvPicPr>
                <pic:blipFill>
                  <a:blip r:embed="rId1">
                    <a:extLst>
                      <a:ext uri="{28A0092B-C50C-407E-A947-70E740481C1C}">
                        <a14:useLocalDpi xmlns:a14="http://schemas.microsoft.com/office/drawing/2010/main" val="0"/>
                      </a:ext>
                    </a:extLst>
                  </a:blip>
                  <a:stretch>
                    <a:fillRect/>
                  </a:stretch>
                </pic:blipFill>
                <pic:spPr>
                  <a:xfrm>
                    <a:off x="0" y="0"/>
                    <a:ext cx="1429385" cy="565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249FFE" wp14:editId="3222EDA3">
          <wp:simplePos x="0" y="0"/>
          <wp:positionH relativeFrom="column">
            <wp:posOffset>4707255</wp:posOffset>
          </wp:positionH>
          <wp:positionV relativeFrom="paragraph">
            <wp:posOffset>-348615</wp:posOffset>
          </wp:positionV>
          <wp:extent cx="1191895" cy="1291590"/>
          <wp:effectExtent l="0" t="0" r="8255" b="3810"/>
          <wp:wrapSquare wrapText="bothSides"/>
          <wp:docPr id="7254410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98862" name="Obraz 1687698862"/>
                  <pic:cNvPicPr/>
                </pic:nvPicPr>
                <pic:blipFill>
                  <a:blip r:embed="rId2">
                    <a:extLst>
                      <a:ext uri="{28A0092B-C50C-407E-A947-70E740481C1C}">
                        <a14:useLocalDpi xmlns:a14="http://schemas.microsoft.com/office/drawing/2010/main" val="0"/>
                      </a:ext>
                    </a:extLst>
                  </a:blip>
                  <a:stretch>
                    <a:fillRect/>
                  </a:stretch>
                </pic:blipFill>
                <pic:spPr>
                  <a:xfrm>
                    <a:off x="0" y="0"/>
                    <a:ext cx="1191895" cy="1291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4305D"/>
    <w:multiLevelType w:val="hybridMultilevel"/>
    <w:tmpl w:val="33141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8C4428"/>
    <w:multiLevelType w:val="hybridMultilevel"/>
    <w:tmpl w:val="24FC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DD5EEA"/>
    <w:multiLevelType w:val="hybridMultilevel"/>
    <w:tmpl w:val="2930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946417">
    <w:abstractNumId w:val="0"/>
  </w:num>
  <w:num w:numId="2" w16cid:durableId="746538627">
    <w:abstractNumId w:val="2"/>
  </w:num>
  <w:num w:numId="3" w16cid:durableId="34906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98"/>
    <w:rsid w:val="00070113"/>
    <w:rsid w:val="000738E6"/>
    <w:rsid w:val="001A3E6F"/>
    <w:rsid w:val="002E190A"/>
    <w:rsid w:val="00314D07"/>
    <w:rsid w:val="003A0218"/>
    <w:rsid w:val="003A32EE"/>
    <w:rsid w:val="003B0D9B"/>
    <w:rsid w:val="003C6406"/>
    <w:rsid w:val="00497BED"/>
    <w:rsid w:val="004C18FB"/>
    <w:rsid w:val="0050702B"/>
    <w:rsid w:val="00517758"/>
    <w:rsid w:val="005900AB"/>
    <w:rsid w:val="005A021F"/>
    <w:rsid w:val="005A0C75"/>
    <w:rsid w:val="006A19FB"/>
    <w:rsid w:val="0073383C"/>
    <w:rsid w:val="00830DE5"/>
    <w:rsid w:val="009B4C98"/>
    <w:rsid w:val="00A94312"/>
    <w:rsid w:val="00C0763D"/>
    <w:rsid w:val="00C66A92"/>
    <w:rsid w:val="00E628A5"/>
    <w:rsid w:val="00E87B27"/>
    <w:rsid w:val="00EF2F18"/>
    <w:rsid w:val="00F0136F"/>
    <w:rsid w:val="00F531FF"/>
    <w:rsid w:val="00FD7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F4AB"/>
  <w15:chartTrackingRefBased/>
  <w15:docId w15:val="{27064E71-DA3C-44FC-A967-15C21D5F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7B27"/>
    <w:pPr>
      <w:ind w:left="720"/>
      <w:contextualSpacing/>
    </w:pPr>
  </w:style>
  <w:style w:type="paragraph" w:styleId="Nagwek">
    <w:name w:val="header"/>
    <w:basedOn w:val="Normalny"/>
    <w:link w:val="NagwekZnak"/>
    <w:uiPriority w:val="99"/>
    <w:unhideWhenUsed/>
    <w:rsid w:val="007338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383C"/>
  </w:style>
  <w:style w:type="paragraph" w:styleId="Stopka">
    <w:name w:val="footer"/>
    <w:basedOn w:val="Normalny"/>
    <w:link w:val="StopkaZnak"/>
    <w:uiPriority w:val="99"/>
    <w:unhideWhenUsed/>
    <w:rsid w:val="007338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5341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Naidenova</dc:creator>
  <cp:keywords/>
  <dc:description/>
  <cp:lastModifiedBy>Agata Marek</cp:lastModifiedBy>
  <cp:revision>2</cp:revision>
  <dcterms:created xsi:type="dcterms:W3CDTF">2024-12-01T16:33:00Z</dcterms:created>
  <dcterms:modified xsi:type="dcterms:W3CDTF">2024-12-01T16:33:00Z</dcterms:modified>
</cp:coreProperties>
</file>